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602FEA">
        <w:rPr>
          <w:rFonts w:cs="Times New Roman"/>
          <w:szCs w:val="28"/>
        </w:rPr>
        <w:t xml:space="preserve"> </w:t>
      </w:r>
      <w:r w:rsidR="00D05CCE">
        <w:rPr>
          <w:rFonts w:cs="Times New Roman"/>
          <w:szCs w:val="28"/>
        </w:rPr>
        <w:t>20</w:t>
      </w:r>
      <w:r w:rsidR="006928DA">
        <w:rPr>
          <w:rFonts w:cs="Times New Roman"/>
          <w:szCs w:val="28"/>
        </w:rPr>
        <w:t>2</w:t>
      </w:r>
      <w:r w:rsidR="00602FEA">
        <w:rPr>
          <w:rFonts w:cs="Times New Roman"/>
          <w:szCs w:val="28"/>
        </w:rPr>
        <w:t>3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F63D2" w:rsidRPr="006B228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F63D2" w:rsidRPr="006B228F">
              <w:rPr>
                <w:rFonts w:cs="Times New Roman"/>
                <w:sz w:val="24"/>
                <w:szCs w:val="24"/>
              </w:rPr>
              <w:t>км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6: сл. Верхнесеребряковка, х.Верхоломов х. Веселый  Гай</w:t>
            </w:r>
            <w:r w:rsidR="00602FEA">
              <w:rPr>
                <w:rFonts w:cs="Times New Roman"/>
                <w:sz w:val="24"/>
                <w:szCs w:val="24"/>
              </w:rPr>
              <w:t xml:space="preserve">, </w:t>
            </w:r>
            <w:r w:rsidRPr="006B228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х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ижнежировский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02FEA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605" w:type="dxa"/>
          </w:tcPr>
          <w:p w:rsidR="00EF63D2" w:rsidRPr="006B228F" w:rsidRDefault="00357F5F" w:rsidP="00A657D1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EF63D2" w:rsidRPr="006B228F" w:rsidRDefault="00357F5F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5D395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2F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F351B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602FEA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605" w:type="dxa"/>
          </w:tcPr>
          <w:p w:rsidR="00EF63D2" w:rsidRPr="006B228F" w:rsidRDefault="00F351B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2F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EF63D2" w:rsidRPr="006B228F" w:rsidRDefault="00357F5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F63D2" w:rsidRPr="006B228F" w:rsidRDefault="00357F5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4A67AC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26C2A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605" w:type="dxa"/>
          </w:tcPr>
          <w:p w:rsidR="00EF63D2" w:rsidRPr="006B228F" w:rsidRDefault="00357F5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F63D2" w:rsidRPr="006B228F" w:rsidRDefault="00357F5F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602F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591FD5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26C2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4A67AC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526C2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602FE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57F5F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A657D1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57F5F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357F5F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357F5F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583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A657D1">
              <w:rPr>
                <w:rFonts w:cs="Times New Roman"/>
                <w:sz w:val="24"/>
                <w:szCs w:val="24"/>
              </w:rPr>
              <w:t>1</w:t>
            </w:r>
            <w:r w:rsidR="00357F5F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5D3950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5D39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357F5F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357F5F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357F5F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357F5F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7" w:type="pct"/>
          </w:tcPr>
          <w:p w:rsidR="00EF63D2" w:rsidRPr="006B228F" w:rsidRDefault="00357F5F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</w:t>
            </w:r>
            <w:r w:rsidR="00357F5F">
              <w:rPr>
                <w:rFonts w:cs="Times New Roman"/>
                <w:i/>
                <w:sz w:val="24"/>
                <w:szCs w:val="24"/>
              </w:rPr>
              <w:t xml:space="preserve">                              калмыки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357F5F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357F5F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67" w:type="pct"/>
          </w:tcPr>
          <w:p w:rsidR="00EF63D2" w:rsidRPr="006B228F" w:rsidRDefault="00357F5F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6" w:type="pct"/>
          </w:tcPr>
          <w:p w:rsidR="00EF63D2" w:rsidRPr="006B228F" w:rsidRDefault="00357F5F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6" w:type="pct"/>
          </w:tcPr>
          <w:p w:rsidR="00EF63D2" w:rsidRDefault="00357F5F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82F8B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lastRenderedPageBreak/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575DC8" w:rsidRPr="008B4DAB" w:rsidRDefault="00575DC8" w:rsidP="008B4DAB">
            <w:pPr>
              <w:ind w:firstLine="0"/>
              <w:jc w:val="left"/>
              <w:rPr>
                <w:sz w:val="24"/>
                <w:szCs w:val="24"/>
              </w:rPr>
            </w:pPr>
            <w:r w:rsidRPr="008B4DAB">
              <w:rPr>
                <w:rFonts w:cs="Times New Roman"/>
                <w:sz w:val="24"/>
                <w:szCs w:val="24"/>
              </w:rPr>
              <w:t>-</w:t>
            </w:r>
            <w:r w:rsidR="008B4DAB" w:rsidRPr="008B4DAB">
              <w:rPr>
                <w:rFonts w:cs="Times New Roman"/>
                <w:sz w:val="24"/>
                <w:szCs w:val="24"/>
              </w:rPr>
              <w:t xml:space="preserve"> </w:t>
            </w:r>
            <w:r w:rsidR="008B4DAB" w:rsidRPr="008B4DAB">
              <w:rPr>
                <w:sz w:val="24"/>
                <w:szCs w:val="24"/>
                <w:lang w:eastAsia="ar-SA"/>
              </w:rPr>
              <w:t xml:space="preserve">мероприятия </w:t>
            </w:r>
            <w:r w:rsidR="008B4DAB" w:rsidRPr="008B4DAB">
              <w:rPr>
                <w:sz w:val="24"/>
                <w:szCs w:val="24"/>
              </w:rPr>
              <w:t>Международному дню родного языка: онлайн-акция «Язык родной, дружи со мной!»;</w:t>
            </w:r>
          </w:p>
          <w:p w:rsidR="008B4DAB" w:rsidRPr="008B4DAB" w:rsidRDefault="008B4DAB" w:rsidP="008B4DA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4DAB">
              <w:rPr>
                <w:sz w:val="24"/>
                <w:szCs w:val="24"/>
              </w:rPr>
              <w:t>- патриотические мероприятия: акция «Окна Победы»;</w:t>
            </w:r>
            <w:r w:rsidRPr="008B4DAB">
              <w:rPr>
                <w:color w:val="000000"/>
                <w:sz w:val="24"/>
                <w:szCs w:val="24"/>
                <w:shd w:val="clear" w:color="auto" w:fill="FFFFFF"/>
              </w:rPr>
              <w:t xml:space="preserve"> Вахта памяти «Никто не забыт, ничто не забыто», Торжественный митинг у мемориала павшим воинам «Победа: нам жить и помнить!», возложение венков к мемориалу павших воинов Великой Отечественной войны «Вечная слава, вечная память», Праздничный концерт «Звучи, Победная весна»!», посвященный 77 годовщине Победы и праздничный салют «Салют Победы!»</w:t>
            </w:r>
            <w:r w:rsidRPr="008B4DAB">
              <w:rPr>
                <w:sz w:val="24"/>
                <w:szCs w:val="24"/>
              </w:rPr>
              <w:t>;</w:t>
            </w:r>
            <w:proofErr w:type="gramEnd"/>
          </w:p>
          <w:p w:rsidR="008B4DAB" w:rsidRPr="008B4DAB" w:rsidRDefault="008B4DAB" w:rsidP="008B4DAB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B4DAB">
              <w:rPr>
                <w:sz w:val="24"/>
                <w:szCs w:val="24"/>
              </w:rPr>
              <w:t>-</w:t>
            </w:r>
            <w:r w:rsidRPr="008B4DAB">
              <w:rPr>
                <w:sz w:val="24"/>
                <w:szCs w:val="24"/>
                <w:shd w:val="clear" w:color="auto" w:fill="FFFFFF"/>
              </w:rPr>
              <w:t xml:space="preserve"> праздничные мероприятия «Моя Родина-Россия!»: игра-путешествие по станциям «Я живу в России», </w:t>
            </w:r>
            <w:proofErr w:type="spellStart"/>
            <w:r w:rsidRPr="008B4DAB">
              <w:rPr>
                <w:sz w:val="24"/>
                <w:szCs w:val="24"/>
                <w:shd w:val="clear" w:color="auto" w:fill="FFFFFF"/>
              </w:rPr>
              <w:t>флэшмоб</w:t>
            </w:r>
            <w:proofErr w:type="spellEnd"/>
            <w:r w:rsidRPr="008B4DAB">
              <w:rPr>
                <w:sz w:val="24"/>
                <w:szCs w:val="24"/>
                <w:shd w:val="clear" w:color="auto" w:fill="FFFFFF"/>
              </w:rPr>
              <w:t xml:space="preserve"> «Мы дети России», информационно-развлекательная программа «Россия-Родина моя»;</w:t>
            </w:r>
          </w:p>
          <w:p w:rsidR="008B4DAB" w:rsidRPr="008B4DAB" w:rsidRDefault="008B4DAB" w:rsidP="008B4DAB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4DAB">
              <w:rPr>
                <w:rFonts w:cs="Times New Roman"/>
                <w:sz w:val="24"/>
                <w:szCs w:val="24"/>
              </w:rPr>
              <w:t xml:space="preserve">- </w:t>
            </w:r>
            <w:r w:rsidRPr="008B4DAB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акция «Флаг державы – символ славы»;</w:t>
            </w:r>
          </w:p>
          <w:p w:rsidR="008B4DAB" w:rsidRPr="008B4DAB" w:rsidRDefault="008B4DAB" w:rsidP="008B4DAB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8B4DAB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-  мероприятия </w:t>
            </w:r>
            <w:r w:rsidRPr="008B4DAB">
              <w:rPr>
                <w:rFonts w:eastAsia="Calibri" w:cs="Times New Roman"/>
                <w:sz w:val="24"/>
                <w:szCs w:val="24"/>
              </w:rPr>
              <w:t>в рамках празднования 85-летия образования Ростовской области;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F63D2" w:rsidRPr="00B50463" w:rsidRDefault="00EF63D2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75DC8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357F5F">
              <w:rPr>
                <w:rFonts w:cs="Times New Roman"/>
                <w:sz w:val="24"/>
                <w:szCs w:val="24"/>
              </w:rPr>
              <w:t>83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357F5F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357F5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357F5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57F5F">
              <w:rPr>
                <w:rFonts w:cs="Times New Roman"/>
                <w:sz w:val="24"/>
                <w:szCs w:val="24"/>
              </w:rPr>
              <w:t>8</w:t>
            </w:r>
            <w:r w:rsidR="004443F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6C02FE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264,5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6C02FE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33,6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357F5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22,3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357F5F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1945E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</w:t>
            </w:r>
            <w:r w:rsidR="00562DAD">
              <w:rPr>
                <w:rFonts w:cs="Times New Roman"/>
                <w:sz w:val="24"/>
                <w:szCs w:val="24"/>
              </w:rPr>
              <w:t>ета по межэтническим отношениям</w:t>
            </w:r>
            <w:proofErr w:type="gramStart"/>
            <w:r w:rsidR="00562DAD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</w:t>
            </w:r>
          </w:p>
          <w:p w:rsidR="00793729" w:rsidRPr="00B50463" w:rsidRDefault="00793729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443F5">
              <w:rPr>
                <w:rFonts w:cs="Times New Roman"/>
                <w:sz w:val="24"/>
                <w:szCs w:val="24"/>
              </w:rPr>
              <w:t>07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1945E2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6C02FE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</w:p>
    <w:p w:rsidR="00575DC8" w:rsidRDefault="006C02FE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___________________    </w:t>
      </w:r>
      <w:proofErr w:type="spellStart"/>
      <w:r w:rsidR="004443F5">
        <w:rPr>
          <w:rFonts w:cs="Times New Roman"/>
          <w:sz w:val="24"/>
          <w:szCs w:val="24"/>
        </w:rPr>
        <w:t>М.Ю.Кодочигова</w:t>
      </w:r>
      <w:proofErr w:type="spellEnd"/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p w:rsidR="006C02FE" w:rsidRDefault="006C02FE" w:rsidP="002C3E76">
      <w:pPr>
        <w:ind w:firstLine="0"/>
        <w:rPr>
          <w:rFonts w:cs="Times New Roman"/>
          <w:sz w:val="24"/>
          <w:szCs w:val="24"/>
        </w:rPr>
      </w:pPr>
    </w:p>
    <w:sectPr w:rsidR="006C02FE" w:rsidSect="006C02FE">
      <w:pgSz w:w="11906" w:h="16838" w:code="9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8F" w:rsidRDefault="00DB358F" w:rsidP="00811913">
      <w:r>
        <w:separator/>
      </w:r>
    </w:p>
  </w:endnote>
  <w:endnote w:type="continuationSeparator" w:id="0">
    <w:p w:rsidR="00DB358F" w:rsidRDefault="00DB358F" w:rsidP="00811913">
      <w:r>
        <w:continuationSeparator/>
      </w:r>
    </w:p>
  </w:endnote>
  <w:endnote w:id="1">
    <w:p w:rsidR="006C02FE" w:rsidRDefault="006C02FE" w:rsidP="00E74FB1">
      <w:pPr>
        <w:pStyle w:val="a4"/>
        <w:ind w:firstLine="0"/>
      </w:pPr>
    </w:p>
  </w:endnote>
  <w:endnote w:id="2">
    <w:p w:rsidR="006C02FE" w:rsidRDefault="006C02FE" w:rsidP="00E74FB1">
      <w:pPr>
        <w:pStyle w:val="a4"/>
        <w:ind w:firstLine="0"/>
      </w:pPr>
    </w:p>
  </w:endnote>
  <w:endnote w:id="3">
    <w:p w:rsidR="006C02FE" w:rsidRDefault="006C02FE" w:rsidP="00E74FB1">
      <w:pPr>
        <w:pStyle w:val="a4"/>
        <w:ind w:firstLine="0"/>
      </w:pPr>
    </w:p>
  </w:endnote>
  <w:endnote w:id="4">
    <w:p w:rsidR="006C02FE" w:rsidRDefault="006C02FE" w:rsidP="00E74FB1">
      <w:pPr>
        <w:pStyle w:val="a4"/>
        <w:ind w:firstLine="0"/>
      </w:pPr>
    </w:p>
  </w:endnote>
  <w:endnote w:id="5">
    <w:p w:rsidR="006C02FE" w:rsidRDefault="006C02FE" w:rsidP="00E74FB1">
      <w:pPr>
        <w:pStyle w:val="a4"/>
        <w:ind w:firstLine="0"/>
      </w:pPr>
    </w:p>
  </w:endnote>
  <w:endnote w:id="6">
    <w:p w:rsidR="006C02FE" w:rsidRDefault="006C02FE" w:rsidP="00E74FB1">
      <w:pPr>
        <w:pStyle w:val="a4"/>
        <w:ind w:firstLine="0"/>
      </w:pPr>
    </w:p>
  </w:endnote>
  <w:endnote w:id="7">
    <w:p w:rsidR="006C02FE" w:rsidRDefault="006C02FE" w:rsidP="00E74FB1">
      <w:pPr>
        <w:pStyle w:val="a4"/>
        <w:ind w:firstLine="0"/>
      </w:pPr>
    </w:p>
  </w:endnote>
  <w:endnote w:id="8">
    <w:p w:rsidR="006C02FE" w:rsidRDefault="006C02FE" w:rsidP="00E74FB1">
      <w:pPr>
        <w:pStyle w:val="a4"/>
        <w:ind w:firstLine="0"/>
      </w:pPr>
    </w:p>
  </w:endnote>
  <w:endnote w:id="9">
    <w:p w:rsidR="006C02FE" w:rsidRDefault="006C02FE" w:rsidP="00E74FB1">
      <w:pPr>
        <w:pStyle w:val="a4"/>
        <w:ind w:firstLine="0"/>
      </w:pPr>
    </w:p>
  </w:endnote>
  <w:endnote w:id="10">
    <w:p w:rsidR="006C02FE" w:rsidRDefault="006C02FE" w:rsidP="00E74FB1">
      <w:pPr>
        <w:pStyle w:val="a4"/>
        <w:ind w:firstLine="0"/>
      </w:pPr>
    </w:p>
  </w:endnote>
  <w:endnote w:id="11">
    <w:p w:rsidR="006C02FE" w:rsidRDefault="006C02FE" w:rsidP="00E74FB1">
      <w:pPr>
        <w:pStyle w:val="a4"/>
        <w:ind w:firstLine="0"/>
      </w:pPr>
    </w:p>
  </w:endnote>
  <w:endnote w:id="12">
    <w:p w:rsidR="006C02FE" w:rsidRDefault="006C02FE" w:rsidP="00E74FB1">
      <w:pPr>
        <w:pStyle w:val="a4"/>
        <w:ind w:firstLine="0"/>
      </w:pPr>
    </w:p>
  </w:endnote>
  <w:endnote w:id="13">
    <w:p w:rsidR="006C02FE" w:rsidRDefault="006C02FE" w:rsidP="00E74FB1">
      <w:pPr>
        <w:pStyle w:val="a4"/>
        <w:ind w:firstLine="0"/>
      </w:pPr>
    </w:p>
  </w:endnote>
  <w:endnote w:id="14">
    <w:p w:rsidR="006C02FE" w:rsidRDefault="006C02FE" w:rsidP="00E74FB1">
      <w:pPr>
        <w:pStyle w:val="a4"/>
        <w:ind w:firstLine="0"/>
      </w:pPr>
    </w:p>
  </w:endnote>
  <w:endnote w:id="15">
    <w:p w:rsidR="006C02FE" w:rsidRDefault="006C02FE" w:rsidP="00E74FB1">
      <w:pPr>
        <w:pStyle w:val="a4"/>
        <w:ind w:firstLine="0"/>
      </w:pPr>
    </w:p>
  </w:endnote>
  <w:endnote w:id="16">
    <w:p w:rsidR="006C02FE" w:rsidRDefault="006C02FE" w:rsidP="00E74FB1">
      <w:pPr>
        <w:pStyle w:val="a4"/>
        <w:ind w:firstLine="0"/>
      </w:pPr>
    </w:p>
  </w:endnote>
  <w:endnote w:id="17">
    <w:p w:rsidR="006C02FE" w:rsidRDefault="006C02FE" w:rsidP="00E74FB1">
      <w:pPr>
        <w:pStyle w:val="a4"/>
        <w:ind w:firstLine="0"/>
      </w:pPr>
    </w:p>
  </w:endnote>
  <w:endnote w:id="18">
    <w:p w:rsidR="006C02FE" w:rsidRDefault="006C02FE" w:rsidP="00E74FB1">
      <w:pPr>
        <w:pStyle w:val="a4"/>
        <w:ind w:firstLine="0"/>
      </w:pPr>
    </w:p>
  </w:endnote>
  <w:endnote w:id="19">
    <w:p w:rsidR="006C02FE" w:rsidRDefault="006C02FE" w:rsidP="00E74FB1">
      <w:pPr>
        <w:pStyle w:val="a4"/>
        <w:ind w:firstLine="0"/>
      </w:pPr>
    </w:p>
  </w:endnote>
  <w:endnote w:id="20">
    <w:p w:rsidR="006C02FE" w:rsidRDefault="006C02FE" w:rsidP="00E74FB1">
      <w:pPr>
        <w:pStyle w:val="a4"/>
        <w:ind w:firstLine="0"/>
      </w:pPr>
    </w:p>
  </w:endnote>
  <w:endnote w:id="21">
    <w:p w:rsidR="006C02FE" w:rsidRDefault="006C02FE" w:rsidP="00E74FB1">
      <w:pPr>
        <w:pStyle w:val="a4"/>
        <w:ind w:firstLine="0"/>
      </w:pPr>
    </w:p>
  </w:endnote>
  <w:endnote w:id="22">
    <w:p w:rsidR="006C02FE" w:rsidRDefault="006C02FE" w:rsidP="00E74FB1">
      <w:pPr>
        <w:pStyle w:val="a4"/>
        <w:ind w:firstLine="0"/>
      </w:pPr>
    </w:p>
  </w:endnote>
  <w:endnote w:id="23">
    <w:p w:rsidR="006C02FE" w:rsidRDefault="006C02FE" w:rsidP="00E74FB1">
      <w:pPr>
        <w:pStyle w:val="a4"/>
        <w:ind w:firstLine="0"/>
      </w:pPr>
    </w:p>
  </w:endnote>
  <w:endnote w:id="24">
    <w:p w:rsidR="006C02FE" w:rsidRDefault="006C02FE" w:rsidP="00E74FB1">
      <w:pPr>
        <w:pStyle w:val="a4"/>
        <w:ind w:firstLine="0"/>
      </w:pPr>
    </w:p>
  </w:endnote>
  <w:endnote w:id="25">
    <w:p w:rsidR="006C02FE" w:rsidRDefault="006C02FE" w:rsidP="00E74FB1">
      <w:pPr>
        <w:pStyle w:val="a4"/>
        <w:ind w:firstLine="0"/>
      </w:pPr>
    </w:p>
  </w:endnote>
  <w:endnote w:id="26">
    <w:p w:rsidR="006C02FE" w:rsidRDefault="006C02FE" w:rsidP="00E74FB1">
      <w:pPr>
        <w:pStyle w:val="a4"/>
        <w:ind w:firstLine="0"/>
      </w:pPr>
    </w:p>
  </w:endnote>
  <w:endnote w:id="27">
    <w:p w:rsidR="006C02FE" w:rsidRDefault="006C02FE" w:rsidP="00E74FB1">
      <w:pPr>
        <w:pStyle w:val="a4"/>
        <w:ind w:firstLine="0"/>
      </w:pPr>
    </w:p>
  </w:endnote>
  <w:endnote w:id="28">
    <w:p w:rsidR="006C02FE" w:rsidRDefault="006C02FE" w:rsidP="00E74FB1">
      <w:pPr>
        <w:pStyle w:val="a4"/>
        <w:ind w:firstLine="0"/>
      </w:pPr>
    </w:p>
  </w:endnote>
  <w:endnote w:id="29">
    <w:p w:rsidR="006C02FE" w:rsidRDefault="006C02FE" w:rsidP="00E74FB1">
      <w:pPr>
        <w:pStyle w:val="a4"/>
        <w:ind w:firstLine="0"/>
      </w:pPr>
    </w:p>
  </w:endnote>
  <w:endnote w:id="30">
    <w:p w:rsidR="006C02FE" w:rsidRDefault="006C02FE" w:rsidP="00E74FB1">
      <w:pPr>
        <w:pStyle w:val="a4"/>
        <w:ind w:firstLine="0"/>
      </w:pPr>
    </w:p>
  </w:endnote>
  <w:endnote w:id="31">
    <w:p w:rsidR="006C02FE" w:rsidRDefault="006C02FE" w:rsidP="00E74FB1">
      <w:pPr>
        <w:pStyle w:val="a4"/>
        <w:ind w:firstLine="0"/>
      </w:pPr>
    </w:p>
  </w:endnote>
  <w:endnote w:id="32">
    <w:p w:rsidR="006C02FE" w:rsidRDefault="006C02FE" w:rsidP="00E74FB1">
      <w:pPr>
        <w:pStyle w:val="a4"/>
        <w:ind w:firstLine="0"/>
      </w:pPr>
    </w:p>
  </w:endnote>
  <w:endnote w:id="33">
    <w:p w:rsidR="006C02FE" w:rsidRDefault="006C02FE" w:rsidP="00E74FB1">
      <w:pPr>
        <w:pStyle w:val="a4"/>
        <w:ind w:firstLine="0"/>
      </w:pPr>
    </w:p>
  </w:endnote>
  <w:endnote w:id="34">
    <w:p w:rsidR="006C02FE" w:rsidRDefault="006C02FE" w:rsidP="00E74FB1">
      <w:pPr>
        <w:pStyle w:val="a4"/>
        <w:ind w:firstLine="0"/>
      </w:pPr>
    </w:p>
  </w:endnote>
  <w:endnote w:id="35">
    <w:p w:rsidR="006C02FE" w:rsidRDefault="006C02FE" w:rsidP="00E74FB1">
      <w:pPr>
        <w:pStyle w:val="a4"/>
        <w:ind w:firstLine="0"/>
      </w:pPr>
    </w:p>
  </w:endnote>
  <w:endnote w:id="36">
    <w:p w:rsidR="006C02FE" w:rsidRDefault="006C02FE" w:rsidP="00E74FB1">
      <w:pPr>
        <w:pStyle w:val="a4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8F" w:rsidRDefault="00DB358F" w:rsidP="00811913">
      <w:r>
        <w:separator/>
      </w:r>
    </w:p>
  </w:footnote>
  <w:footnote w:type="continuationSeparator" w:id="0">
    <w:p w:rsidR="00DB358F" w:rsidRDefault="00DB358F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70933"/>
    <w:rsid w:val="00081CC4"/>
    <w:rsid w:val="00082453"/>
    <w:rsid w:val="000A0B4F"/>
    <w:rsid w:val="000E3CF8"/>
    <w:rsid w:val="00120CE7"/>
    <w:rsid w:val="00130512"/>
    <w:rsid w:val="00157F06"/>
    <w:rsid w:val="001600C6"/>
    <w:rsid w:val="00163FC1"/>
    <w:rsid w:val="00164D6C"/>
    <w:rsid w:val="00165C85"/>
    <w:rsid w:val="00173113"/>
    <w:rsid w:val="001945E2"/>
    <w:rsid w:val="001A7AA7"/>
    <w:rsid w:val="001B1B30"/>
    <w:rsid w:val="001D15E2"/>
    <w:rsid w:val="001E2CDE"/>
    <w:rsid w:val="002029FD"/>
    <w:rsid w:val="00204F83"/>
    <w:rsid w:val="002508B9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57F5F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443F5"/>
    <w:rsid w:val="00465E81"/>
    <w:rsid w:val="00475FF3"/>
    <w:rsid w:val="004A67AC"/>
    <w:rsid w:val="004C32A4"/>
    <w:rsid w:val="004D656E"/>
    <w:rsid w:val="00506157"/>
    <w:rsid w:val="00510499"/>
    <w:rsid w:val="00514014"/>
    <w:rsid w:val="00526C2A"/>
    <w:rsid w:val="00534ED8"/>
    <w:rsid w:val="005362CF"/>
    <w:rsid w:val="00545347"/>
    <w:rsid w:val="00562DAD"/>
    <w:rsid w:val="00567961"/>
    <w:rsid w:val="00575DC8"/>
    <w:rsid w:val="00576E30"/>
    <w:rsid w:val="00591FD5"/>
    <w:rsid w:val="005A4639"/>
    <w:rsid w:val="005B620C"/>
    <w:rsid w:val="005B6B61"/>
    <w:rsid w:val="005D3950"/>
    <w:rsid w:val="005E048D"/>
    <w:rsid w:val="005E269E"/>
    <w:rsid w:val="005F474D"/>
    <w:rsid w:val="00602FEA"/>
    <w:rsid w:val="006045D1"/>
    <w:rsid w:val="006355AA"/>
    <w:rsid w:val="00640BAB"/>
    <w:rsid w:val="006551E1"/>
    <w:rsid w:val="00667CCB"/>
    <w:rsid w:val="00683EAE"/>
    <w:rsid w:val="00690861"/>
    <w:rsid w:val="00691CEB"/>
    <w:rsid w:val="006928DA"/>
    <w:rsid w:val="00697E84"/>
    <w:rsid w:val="006B228F"/>
    <w:rsid w:val="006C02FE"/>
    <w:rsid w:val="006C748B"/>
    <w:rsid w:val="006D2003"/>
    <w:rsid w:val="006E34F7"/>
    <w:rsid w:val="006E5732"/>
    <w:rsid w:val="006F6513"/>
    <w:rsid w:val="007048E0"/>
    <w:rsid w:val="007160A5"/>
    <w:rsid w:val="007318B5"/>
    <w:rsid w:val="007449D9"/>
    <w:rsid w:val="00750764"/>
    <w:rsid w:val="007507EC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5FED"/>
    <w:rsid w:val="00837C59"/>
    <w:rsid w:val="00853811"/>
    <w:rsid w:val="00853F55"/>
    <w:rsid w:val="00856536"/>
    <w:rsid w:val="00873CFD"/>
    <w:rsid w:val="008B4DAB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657D1"/>
    <w:rsid w:val="00A76280"/>
    <w:rsid w:val="00AA665E"/>
    <w:rsid w:val="00AD0B27"/>
    <w:rsid w:val="00B00087"/>
    <w:rsid w:val="00B00D06"/>
    <w:rsid w:val="00B50463"/>
    <w:rsid w:val="00B61B2E"/>
    <w:rsid w:val="00B654BA"/>
    <w:rsid w:val="00B66C6B"/>
    <w:rsid w:val="00B76D0D"/>
    <w:rsid w:val="00B9167F"/>
    <w:rsid w:val="00B97B6D"/>
    <w:rsid w:val="00BA3A4E"/>
    <w:rsid w:val="00BB05E5"/>
    <w:rsid w:val="00BB6BA2"/>
    <w:rsid w:val="00BC5FF1"/>
    <w:rsid w:val="00BE4C98"/>
    <w:rsid w:val="00BE7225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358F"/>
    <w:rsid w:val="00DB5C97"/>
    <w:rsid w:val="00DD7416"/>
    <w:rsid w:val="00DE1D0E"/>
    <w:rsid w:val="00E164F4"/>
    <w:rsid w:val="00E2471C"/>
    <w:rsid w:val="00E256F2"/>
    <w:rsid w:val="00E3045F"/>
    <w:rsid w:val="00E32F72"/>
    <w:rsid w:val="00E42F8D"/>
    <w:rsid w:val="00E51FC6"/>
    <w:rsid w:val="00E705F6"/>
    <w:rsid w:val="00E74FB1"/>
    <w:rsid w:val="00E82F8B"/>
    <w:rsid w:val="00E9566B"/>
    <w:rsid w:val="00EA158D"/>
    <w:rsid w:val="00EE6EDE"/>
    <w:rsid w:val="00EF63D2"/>
    <w:rsid w:val="00F00A15"/>
    <w:rsid w:val="00F209F3"/>
    <w:rsid w:val="00F27CEC"/>
    <w:rsid w:val="00F31220"/>
    <w:rsid w:val="00F327D3"/>
    <w:rsid w:val="00F351BE"/>
    <w:rsid w:val="00F5035E"/>
    <w:rsid w:val="00F9377E"/>
    <w:rsid w:val="00F94B87"/>
    <w:rsid w:val="00FA33E9"/>
    <w:rsid w:val="00FA4C65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B056-B7F3-4809-9D82-6EED1B33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2</cp:revision>
  <cp:lastPrinted>2023-02-27T06:15:00Z</cp:lastPrinted>
  <dcterms:created xsi:type="dcterms:W3CDTF">2024-01-29T08:31:00Z</dcterms:created>
  <dcterms:modified xsi:type="dcterms:W3CDTF">2024-01-29T08:31:00Z</dcterms:modified>
</cp:coreProperties>
</file>